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00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1460"/>
        <w:tblGridChange w:id="0">
          <w:tblGrid>
            <w:gridCol w:w="2040"/>
            <w:gridCol w:w="1146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  <w:t xml:space="preserve"> (if given)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Genre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 using “</w:t>
            </w: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0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60"/>
              <w:gridCol w:w="1290"/>
              <w:gridCol w:w="1275"/>
              <w:gridCol w:w="675"/>
              <w:gridCol w:w="1185"/>
              <w:gridCol w:w="1020"/>
              <w:gridCol w:w="3495"/>
              <w:tblGridChange w:id="0">
                <w:tblGrid>
                  <w:gridCol w:w="660"/>
                  <w:gridCol w:w="1290"/>
                  <w:gridCol w:w="1275"/>
                  <w:gridCol w:w="675"/>
                  <w:gridCol w:w="1185"/>
                  <w:gridCol w:w="1020"/>
                  <w:gridCol w:w="349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PSA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Documentary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Informational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News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Commercial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Animation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Other (describe below)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“Who’s  in it?”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“What happens?”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“Where is it?”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1-Sentence Synopsis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important things have you learned from viewing this film?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470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1430"/>
        <w:tblGridChange w:id="0">
          <w:tblGrid>
            <w:gridCol w:w="2040"/>
            <w:gridCol w:w="1143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So 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do you think is the intended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audience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you think the creator wanted the viewer to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feel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evidence from film to support your answer.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this film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helping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harming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425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1385"/>
        <w:tblGridChange w:id="0">
          <w:tblGrid>
            <w:gridCol w:w="2040"/>
            <w:gridCol w:w="1138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Now what?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this film affect you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personally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you want to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act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think</w:t>
            </w:r>
            <w:r w:rsidDel="00000000" w:rsidR="00000000" w:rsidRPr="00000000">
              <w:rPr>
                <w:rtl w:val="0"/>
              </w:rPr>
              <w:t xml:space="preserve"> differently now?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65913" cy="4429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5913" cy="44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Created by Jim Bentley, KQED Media Literacy Innovator (@Curiosity_Films)</w:t>
      </w:r>
    </w:p>
    <w:sectPr>
      <w:headerReference r:id="rId7" w:type="default"/>
      <w:headerReference r:id="rId8" w:type="first"/>
      <w:footerReference r:id="rId9" w:type="first"/>
      <w:pgSz w:h="12240" w:w="158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b w:val="1"/>
        <w:i w:val="1"/>
        <w:sz w:val="28"/>
        <w:szCs w:val="28"/>
      </w:rPr>
    </w:pPr>
    <w:r w:rsidDel="00000000" w:rsidR="00000000" w:rsidRPr="00000000">
      <w:rPr>
        <w:b w:val="1"/>
        <w:i w:val="1"/>
        <w:sz w:val="28"/>
        <w:szCs w:val="28"/>
        <w:rtl w:val="0"/>
      </w:rPr>
      <w:t xml:space="preserve">Media Analysis Document: What? So What? Now What? (Video)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